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8313" w:type="dxa"/>
        <w:tblInd w:w="96" w:type="dxa"/>
        <w:tblLayout w:type="autofit"/>
        <w:tblCellMar>
          <w:top w:w="0" w:type="dxa"/>
          <w:left w:w="108" w:type="dxa"/>
          <w:bottom w:w="0" w:type="dxa"/>
          <w:right w:w="108" w:type="dxa"/>
        </w:tblCellMar>
      </w:tblPr>
      <w:tblGrid>
        <w:gridCol w:w="2078"/>
        <w:gridCol w:w="2078"/>
        <w:gridCol w:w="2078"/>
        <w:gridCol w:w="2079"/>
      </w:tblGrid>
      <w:tr>
        <w:tblPrEx>
          <w:tblCellMar>
            <w:top w:w="0" w:type="dxa"/>
            <w:left w:w="108" w:type="dxa"/>
            <w:bottom w:w="0" w:type="dxa"/>
            <w:right w:w="108" w:type="dxa"/>
          </w:tblCellMar>
        </w:tblPrEx>
        <w:trPr>
          <w:trHeight w:val="613" w:hRule="atLeast"/>
        </w:trPr>
        <w:tc>
          <w:tcPr>
            <w:tcW w:w="8313" w:type="dxa"/>
            <w:gridSpan w:val="4"/>
            <w:tcBorders>
              <w:top w:val="nil"/>
              <w:left w:val="nil"/>
              <w:bottom w:val="nil"/>
              <w:right w:val="nil"/>
            </w:tcBorders>
            <w:noWrap w:val="0"/>
            <w:vAlign w:val="center"/>
          </w:tcPr>
          <w:p>
            <w:pPr>
              <w:widowControl/>
              <w:jc w:val="center"/>
              <w:rPr>
                <w:rFonts w:ascii="宋体" w:hAnsi="宋体" w:cs="宋体"/>
                <w:b/>
                <w:bCs/>
                <w:color w:val="000000"/>
                <w:kern w:val="0"/>
                <w:sz w:val="32"/>
                <w:szCs w:val="32"/>
              </w:rPr>
            </w:pPr>
            <w:r>
              <w:rPr>
                <w:rFonts w:hint="eastAsia" w:ascii="宋体" w:hAnsi="宋体" w:cs="宋体"/>
                <w:b/>
                <w:bCs/>
                <w:color w:val="000000"/>
                <w:kern w:val="0"/>
                <w:sz w:val="32"/>
                <w:szCs w:val="32"/>
              </w:rPr>
              <w:t>徐州市本级项目支出绩效自评价情况表</w:t>
            </w:r>
          </w:p>
        </w:tc>
      </w:tr>
      <w:tr>
        <w:tblPrEx>
          <w:tblCellMar>
            <w:top w:w="0" w:type="dxa"/>
            <w:left w:w="108" w:type="dxa"/>
            <w:bottom w:w="0" w:type="dxa"/>
            <w:right w:w="108" w:type="dxa"/>
          </w:tblCellMar>
        </w:tblPrEx>
        <w:trPr>
          <w:trHeight w:val="534" w:hRule="atLeast"/>
        </w:trPr>
        <w:tc>
          <w:tcPr>
            <w:tcW w:w="20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cs="宋体"/>
                <w:b/>
                <w:bCs/>
                <w:color w:val="000000"/>
                <w:kern w:val="0"/>
                <w:sz w:val="20"/>
                <w:szCs w:val="20"/>
              </w:rPr>
            </w:pPr>
            <w:r>
              <w:rPr>
                <w:rFonts w:hint="eastAsia" w:ascii="宋体" w:hAnsi="宋体" w:eastAsia="宋体" w:cs="宋体"/>
                <w:b/>
                <w:i w:val="0"/>
                <w:color w:val="000000"/>
                <w:kern w:val="0"/>
                <w:sz w:val="20"/>
                <w:szCs w:val="20"/>
                <w:u w:val="none"/>
                <w:lang w:val="en-US" w:eastAsia="zh-CN" w:bidi="ar"/>
              </w:rPr>
              <w:t>填报单位：</w:t>
            </w:r>
          </w:p>
        </w:tc>
        <w:tc>
          <w:tcPr>
            <w:tcW w:w="2078"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徐州市老干部活动（服务）中心</w:t>
            </w:r>
          </w:p>
        </w:tc>
        <w:tc>
          <w:tcPr>
            <w:tcW w:w="2078"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cs="宋体"/>
                <w:b/>
                <w:bCs/>
                <w:color w:val="000000"/>
                <w:kern w:val="0"/>
                <w:sz w:val="20"/>
                <w:szCs w:val="20"/>
              </w:rPr>
            </w:pPr>
            <w:r>
              <w:rPr>
                <w:rFonts w:hint="eastAsia" w:ascii="宋体" w:hAnsi="宋体" w:eastAsia="宋体" w:cs="宋体"/>
                <w:b/>
                <w:i w:val="0"/>
                <w:color w:val="000000"/>
                <w:kern w:val="0"/>
                <w:sz w:val="20"/>
                <w:szCs w:val="20"/>
                <w:u w:val="none"/>
                <w:lang w:val="en-US" w:eastAsia="zh-CN" w:bidi="ar"/>
              </w:rPr>
              <w:t>项目名称：</w:t>
            </w:r>
          </w:p>
        </w:tc>
        <w:tc>
          <w:tcPr>
            <w:tcW w:w="2078"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老干部文体活动</w:t>
            </w:r>
          </w:p>
        </w:tc>
      </w:tr>
      <w:tr>
        <w:tblPrEx>
          <w:tblCellMar>
            <w:top w:w="0" w:type="dxa"/>
            <w:left w:w="108" w:type="dxa"/>
            <w:bottom w:w="0" w:type="dxa"/>
            <w:right w:w="108" w:type="dxa"/>
          </w:tblCellMar>
        </w:tblPrEx>
        <w:trPr>
          <w:trHeight w:val="534" w:hRule="atLeast"/>
        </w:trPr>
        <w:tc>
          <w:tcPr>
            <w:tcW w:w="2078"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cs="宋体"/>
                <w:b/>
                <w:bCs/>
                <w:color w:val="000000"/>
                <w:kern w:val="0"/>
                <w:sz w:val="20"/>
                <w:szCs w:val="20"/>
              </w:rPr>
            </w:pPr>
            <w:r>
              <w:rPr>
                <w:rFonts w:hint="eastAsia" w:ascii="宋体" w:hAnsi="宋体" w:eastAsia="宋体" w:cs="宋体"/>
                <w:b/>
                <w:i w:val="0"/>
                <w:color w:val="000000"/>
                <w:kern w:val="0"/>
                <w:sz w:val="20"/>
                <w:szCs w:val="20"/>
                <w:u w:val="none"/>
                <w:lang w:val="en-US" w:eastAsia="zh-CN" w:bidi="ar"/>
              </w:rPr>
              <w:t>项目实施年度：</w:t>
            </w:r>
          </w:p>
        </w:tc>
        <w:tc>
          <w:tcPr>
            <w:tcW w:w="6235" w:type="dxa"/>
            <w:gridSpan w:val="3"/>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lang w:eastAsia="zh-CN"/>
              </w:rPr>
            </w:pPr>
            <w:r>
              <w:rPr>
                <w:rFonts w:hint="eastAsia" w:ascii="宋体" w:hAnsi="宋体" w:eastAsia="宋体" w:cs="宋体"/>
                <w:i w:val="0"/>
                <w:color w:val="000000"/>
                <w:kern w:val="0"/>
                <w:sz w:val="20"/>
                <w:szCs w:val="20"/>
                <w:u w:val="none"/>
                <w:lang w:val="en-US" w:eastAsia="zh-CN" w:bidi="ar"/>
              </w:rPr>
              <w:t>2023</w:t>
            </w:r>
          </w:p>
        </w:tc>
      </w:tr>
      <w:tr>
        <w:tblPrEx>
          <w:tblCellMar>
            <w:top w:w="0" w:type="dxa"/>
            <w:left w:w="108" w:type="dxa"/>
            <w:bottom w:w="0" w:type="dxa"/>
            <w:right w:w="108" w:type="dxa"/>
          </w:tblCellMar>
        </w:tblPrEx>
        <w:trPr>
          <w:trHeight w:val="678" w:hRule="atLeast"/>
        </w:trPr>
        <w:tc>
          <w:tcPr>
            <w:tcW w:w="2078"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cs="宋体"/>
                <w:b/>
                <w:bCs/>
                <w:color w:val="000000"/>
                <w:kern w:val="0"/>
                <w:sz w:val="20"/>
                <w:szCs w:val="20"/>
              </w:rPr>
            </w:pPr>
            <w:r>
              <w:rPr>
                <w:rFonts w:hint="eastAsia" w:ascii="宋体" w:hAnsi="宋体" w:eastAsia="宋体" w:cs="宋体"/>
                <w:b/>
                <w:i w:val="0"/>
                <w:color w:val="000000"/>
                <w:kern w:val="0"/>
                <w:sz w:val="20"/>
                <w:szCs w:val="20"/>
                <w:u w:val="none"/>
                <w:lang w:val="en-US" w:eastAsia="zh-CN" w:bidi="ar"/>
              </w:rPr>
              <w:t>项目实施开始时间</w:t>
            </w:r>
            <w:r>
              <w:rPr>
                <w:rFonts w:hint="eastAsia" w:ascii="宋体" w:hAnsi="宋体" w:eastAsia="宋体" w:cs="宋体"/>
                <w:b/>
                <w:i w:val="0"/>
                <w:color w:val="000000"/>
                <w:kern w:val="0"/>
                <w:sz w:val="20"/>
                <w:szCs w:val="20"/>
                <w:u w:val="none"/>
                <w:lang w:val="en-US" w:eastAsia="zh-CN" w:bidi="ar"/>
              </w:rPr>
              <w:br w:type="textWrapping"/>
            </w:r>
            <w:r>
              <w:rPr>
                <w:rFonts w:hint="eastAsia" w:ascii="宋体" w:hAnsi="宋体" w:eastAsia="宋体" w:cs="宋体"/>
                <w:b/>
                <w:i w:val="0"/>
                <w:color w:val="000000"/>
                <w:kern w:val="0"/>
                <w:sz w:val="20"/>
                <w:szCs w:val="20"/>
                <w:u w:val="none"/>
                <w:lang w:val="en-US" w:eastAsia="zh-CN" w:bidi="ar"/>
              </w:rPr>
              <w:t>（年/月）：</w:t>
            </w:r>
          </w:p>
        </w:tc>
        <w:tc>
          <w:tcPr>
            <w:tcW w:w="2078" w:type="dxa"/>
            <w:tcBorders>
              <w:top w:val="nil"/>
              <w:left w:val="nil"/>
              <w:bottom w:val="single" w:color="000000" w:sz="4" w:space="0"/>
              <w:right w:val="single" w:color="000000"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w:t>
            </w:r>
            <w:r>
              <w:rPr>
                <w:rFonts w:hint="eastAsia" w:ascii="宋体" w:hAnsi="宋体" w:cs="宋体"/>
                <w:color w:val="000000"/>
                <w:kern w:val="0"/>
                <w:sz w:val="20"/>
                <w:szCs w:val="20"/>
                <w:lang w:val="en-US" w:eastAsia="zh-CN"/>
              </w:rPr>
              <w:t>3</w:t>
            </w:r>
            <w:r>
              <w:rPr>
                <w:rFonts w:hint="eastAsia" w:ascii="宋体" w:hAnsi="宋体" w:cs="宋体"/>
                <w:color w:val="000000"/>
                <w:kern w:val="0"/>
                <w:sz w:val="20"/>
                <w:szCs w:val="20"/>
              </w:rPr>
              <w:t>01</w:t>
            </w:r>
          </w:p>
        </w:tc>
        <w:tc>
          <w:tcPr>
            <w:tcW w:w="2078" w:type="dxa"/>
            <w:tcBorders>
              <w:top w:val="nil"/>
              <w:left w:val="nil"/>
              <w:bottom w:val="single" w:color="000000" w:sz="4" w:space="0"/>
              <w:right w:val="single" w:color="000000" w:sz="4" w:space="0"/>
            </w:tcBorders>
            <w:noWrap w:val="0"/>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项目实施完成时间</w:t>
            </w:r>
            <w:r>
              <w:rPr>
                <w:rFonts w:hint="eastAsia" w:ascii="宋体" w:hAnsi="宋体" w:cs="宋体"/>
                <w:b/>
                <w:bCs/>
                <w:color w:val="000000"/>
                <w:kern w:val="0"/>
                <w:sz w:val="20"/>
                <w:szCs w:val="20"/>
              </w:rPr>
              <w:br w:type="textWrapping"/>
            </w:r>
            <w:r>
              <w:rPr>
                <w:rFonts w:hint="eastAsia" w:ascii="宋体" w:hAnsi="宋体" w:cs="宋体"/>
                <w:b/>
                <w:bCs/>
                <w:color w:val="000000"/>
                <w:kern w:val="0"/>
                <w:sz w:val="20"/>
                <w:szCs w:val="20"/>
              </w:rPr>
              <w:t>（年/月）：</w:t>
            </w:r>
          </w:p>
        </w:tc>
        <w:tc>
          <w:tcPr>
            <w:tcW w:w="2078" w:type="dxa"/>
            <w:tcBorders>
              <w:top w:val="nil"/>
              <w:left w:val="nil"/>
              <w:bottom w:val="single" w:color="000000" w:sz="4" w:space="0"/>
              <w:right w:val="single" w:color="000000"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w:t>
            </w:r>
            <w:r>
              <w:rPr>
                <w:rFonts w:hint="eastAsia" w:ascii="宋体" w:hAnsi="宋体" w:cs="宋体"/>
                <w:color w:val="000000"/>
                <w:kern w:val="0"/>
                <w:sz w:val="20"/>
                <w:szCs w:val="20"/>
                <w:lang w:val="en-US" w:eastAsia="zh-CN"/>
              </w:rPr>
              <w:t>3</w:t>
            </w:r>
            <w:r>
              <w:rPr>
                <w:rFonts w:hint="eastAsia" w:ascii="宋体" w:hAnsi="宋体" w:cs="宋体"/>
                <w:color w:val="000000"/>
                <w:kern w:val="0"/>
                <w:sz w:val="20"/>
                <w:szCs w:val="20"/>
              </w:rPr>
              <w:t>12</w:t>
            </w:r>
          </w:p>
        </w:tc>
      </w:tr>
      <w:tr>
        <w:tblPrEx>
          <w:tblCellMar>
            <w:top w:w="0" w:type="dxa"/>
            <w:left w:w="108" w:type="dxa"/>
            <w:bottom w:w="0" w:type="dxa"/>
            <w:right w:w="108" w:type="dxa"/>
          </w:tblCellMar>
        </w:tblPrEx>
        <w:trPr>
          <w:trHeight w:val="387" w:hRule="atLeast"/>
        </w:trPr>
        <w:tc>
          <w:tcPr>
            <w:tcW w:w="831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cs="宋体"/>
                <w:b/>
                <w:bCs/>
                <w:color w:val="000000"/>
                <w:kern w:val="0"/>
                <w:sz w:val="20"/>
                <w:szCs w:val="20"/>
              </w:rPr>
            </w:pPr>
            <w:r>
              <w:rPr>
                <w:rFonts w:hint="eastAsia" w:ascii="宋体" w:hAnsi="宋体" w:eastAsia="宋体" w:cs="宋体"/>
                <w:b/>
                <w:i w:val="0"/>
                <w:color w:val="000000"/>
                <w:kern w:val="0"/>
                <w:sz w:val="20"/>
                <w:szCs w:val="20"/>
                <w:u w:val="none"/>
                <w:lang w:val="en-US" w:eastAsia="zh-CN" w:bidi="ar"/>
              </w:rPr>
              <w:t>项目自评情况</w:t>
            </w:r>
          </w:p>
        </w:tc>
      </w:tr>
      <w:tr>
        <w:tblPrEx>
          <w:tblCellMar>
            <w:top w:w="0" w:type="dxa"/>
            <w:left w:w="108" w:type="dxa"/>
            <w:bottom w:w="0" w:type="dxa"/>
            <w:right w:w="108" w:type="dxa"/>
          </w:tblCellMar>
        </w:tblPrEx>
        <w:trPr>
          <w:trHeight w:val="613" w:hRule="atLeast"/>
        </w:trPr>
        <w:tc>
          <w:tcPr>
            <w:tcW w:w="831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cs="宋体"/>
                <w:b/>
                <w:bCs/>
                <w:color w:val="000000"/>
                <w:kern w:val="0"/>
                <w:sz w:val="20"/>
                <w:szCs w:val="20"/>
              </w:rPr>
            </w:pPr>
            <w:r>
              <w:rPr>
                <w:rFonts w:hint="eastAsia" w:ascii="宋体" w:hAnsi="宋体" w:eastAsia="宋体" w:cs="宋体"/>
                <w:b/>
                <w:i w:val="0"/>
                <w:color w:val="000000"/>
                <w:kern w:val="0"/>
                <w:sz w:val="20"/>
                <w:szCs w:val="20"/>
                <w:u w:val="none"/>
                <w:lang w:val="en-US" w:eastAsia="zh-CN" w:bidi="ar"/>
              </w:rPr>
              <w:t>一、项目概况（项目政策、资金分配使用、项目实施情况等）</w:t>
            </w:r>
          </w:p>
        </w:tc>
      </w:tr>
      <w:tr>
        <w:tblPrEx>
          <w:tblCellMar>
            <w:top w:w="0" w:type="dxa"/>
            <w:left w:w="108" w:type="dxa"/>
            <w:bottom w:w="0" w:type="dxa"/>
            <w:right w:w="108" w:type="dxa"/>
          </w:tblCellMar>
        </w:tblPrEx>
        <w:trPr>
          <w:trHeight w:val="966" w:hRule="atLeast"/>
        </w:trPr>
        <w:tc>
          <w:tcPr>
            <w:tcW w:w="831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更新老干部活动室器材；征订老干部阅览室报刊；组织参加全省老干部文体活动；参加全省老干部活动学习阵地研究成果交流活动，开展区域内活动学习交流合作；开展“智慧助老”培训；定期举办时事政治、传统文化、养生保健等专题讲座；志愿服务和正能量活动不少于3次；举办不少于6项全市老干部文体活动、交流，活动参与者不少于100人；组织专题宣讲或主题教育活动不少于2次；开设“云活动”、“云课堂”等项目；保障老干部活动室日常运转。</w:t>
            </w:r>
          </w:p>
        </w:tc>
      </w:tr>
      <w:tr>
        <w:tblPrEx>
          <w:tblCellMar>
            <w:top w:w="0" w:type="dxa"/>
            <w:left w:w="108" w:type="dxa"/>
            <w:bottom w:w="0" w:type="dxa"/>
            <w:right w:w="108" w:type="dxa"/>
          </w:tblCellMar>
        </w:tblPrEx>
        <w:trPr>
          <w:trHeight w:val="613" w:hRule="atLeast"/>
        </w:trPr>
        <w:tc>
          <w:tcPr>
            <w:tcW w:w="831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cs="宋体"/>
                <w:b/>
                <w:bCs/>
                <w:color w:val="000000"/>
                <w:kern w:val="0"/>
                <w:sz w:val="20"/>
                <w:szCs w:val="20"/>
              </w:rPr>
            </w:pPr>
            <w:r>
              <w:rPr>
                <w:rFonts w:hint="eastAsia" w:ascii="宋体" w:hAnsi="宋体" w:eastAsia="宋体" w:cs="宋体"/>
                <w:b/>
                <w:i w:val="0"/>
                <w:color w:val="000000"/>
                <w:kern w:val="0"/>
                <w:sz w:val="20"/>
                <w:szCs w:val="20"/>
                <w:u w:val="none"/>
                <w:lang w:val="en-US" w:eastAsia="zh-CN" w:bidi="ar"/>
              </w:rPr>
              <w:t>二、评价情况（评价思路、方式、做法，以及评价指标体系设置和评价结论等）</w:t>
            </w:r>
          </w:p>
        </w:tc>
      </w:tr>
      <w:tr>
        <w:tblPrEx>
          <w:tblCellMar>
            <w:top w:w="0" w:type="dxa"/>
            <w:left w:w="108" w:type="dxa"/>
            <w:bottom w:w="0" w:type="dxa"/>
            <w:right w:w="108" w:type="dxa"/>
          </w:tblCellMar>
        </w:tblPrEx>
        <w:trPr>
          <w:trHeight w:val="1454" w:hRule="atLeast"/>
        </w:trPr>
        <w:tc>
          <w:tcPr>
            <w:tcW w:w="8313"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ind w:firstLine="400" w:firstLineChars="200"/>
              <w:jc w:val="left"/>
              <w:rPr>
                <w:rFonts w:hint="eastAsia" w:ascii="宋体" w:hAnsi="宋体" w:cs="宋体"/>
                <w:color w:val="000000"/>
                <w:kern w:val="0"/>
                <w:sz w:val="20"/>
                <w:szCs w:val="20"/>
              </w:rPr>
            </w:pPr>
            <w:r>
              <w:rPr>
                <w:rFonts w:hint="eastAsia" w:ascii="宋体" w:hAnsi="宋体" w:cs="宋体"/>
                <w:color w:val="000000"/>
                <w:kern w:val="0"/>
                <w:sz w:val="20"/>
                <w:szCs w:val="20"/>
              </w:rPr>
              <w:t>1.明确评价程序。初步确定绩效评价工作应包括前期准备情况、项目实施情况、完成情况三个阶段。</w:t>
            </w:r>
          </w:p>
          <w:p>
            <w:pPr>
              <w:widowControl/>
              <w:ind w:firstLine="400" w:firstLineChars="200"/>
              <w:jc w:val="left"/>
              <w:rPr>
                <w:rFonts w:hint="eastAsia" w:ascii="宋体" w:hAnsi="宋体" w:cs="宋体"/>
                <w:color w:val="000000"/>
                <w:kern w:val="0"/>
                <w:sz w:val="20"/>
                <w:szCs w:val="20"/>
              </w:rPr>
            </w:pPr>
            <w:r>
              <w:rPr>
                <w:rFonts w:hint="eastAsia" w:ascii="宋体" w:hAnsi="宋体" w:cs="宋体"/>
                <w:color w:val="000000"/>
                <w:kern w:val="0"/>
                <w:sz w:val="20"/>
                <w:szCs w:val="20"/>
              </w:rPr>
              <w:t>2.确定评价内容。从前期筹备工作开始到项目实施阶段以及最后项目完成情况进行综合评价。重点评价项目预算情况、预算执行情况以及绩效目标</w:t>
            </w:r>
            <w:r>
              <w:rPr>
                <w:rFonts w:hint="eastAsia" w:ascii="宋体" w:hAnsi="宋体" w:cs="宋体"/>
                <w:color w:val="000000"/>
                <w:kern w:val="0"/>
                <w:sz w:val="20"/>
                <w:szCs w:val="20"/>
                <w:lang w:eastAsia="zh-CN"/>
              </w:rPr>
              <w:t>完成</w:t>
            </w:r>
            <w:r>
              <w:rPr>
                <w:rFonts w:hint="eastAsia" w:ascii="宋体" w:hAnsi="宋体" w:cs="宋体"/>
                <w:color w:val="000000"/>
                <w:kern w:val="0"/>
                <w:sz w:val="20"/>
                <w:szCs w:val="20"/>
              </w:rPr>
              <w:t>情况。</w:t>
            </w:r>
          </w:p>
          <w:p>
            <w:pPr>
              <w:jc w:val="left"/>
              <w:rPr>
                <w:rFonts w:hint="eastAsia" w:ascii="宋体" w:hAnsi="宋体" w:cs="宋体"/>
                <w:color w:val="000000"/>
                <w:kern w:val="0"/>
                <w:sz w:val="20"/>
                <w:szCs w:val="20"/>
              </w:rPr>
            </w:pPr>
            <w:r>
              <w:rPr>
                <w:rFonts w:hint="eastAsia" w:ascii="宋体" w:hAnsi="宋体" w:cs="宋体"/>
                <w:color w:val="000000"/>
                <w:kern w:val="0"/>
                <w:sz w:val="20"/>
                <w:szCs w:val="20"/>
              </w:rPr>
              <w:t>3.形成评价结果。结合项目支出绩效，形成评价结果。包括产生指标情况、效益目标实现情况、项目管理情况等。</w:t>
            </w:r>
            <w:bookmarkStart w:id="0" w:name="_GoBack"/>
            <w:bookmarkEnd w:id="0"/>
          </w:p>
        </w:tc>
      </w:tr>
      <w:tr>
        <w:tblPrEx>
          <w:tblCellMar>
            <w:top w:w="0" w:type="dxa"/>
            <w:left w:w="108" w:type="dxa"/>
            <w:bottom w:w="0" w:type="dxa"/>
            <w:right w:w="108" w:type="dxa"/>
          </w:tblCellMar>
        </w:tblPrEx>
        <w:trPr>
          <w:trHeight w:val="613" w:hRule="atLeast"/>
        </w:trPr>
        <w:tc>
          <w:tcPr>
            <w:tcW w:w="831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cs="宋体"/>
                <w:b/>
                <w:bCs/>
                <w:color w:val="000000"/>
                <w:kern w:val="0"/>
                <w:sz w:val="20"/>
                <w:szCs w:val="20"/>
              </w:rPr>
            </w:pPr>
            <w:r>
              <w:rPr>
                <w:rFonts w:hint="eastAsia" w:ascii="宋体" w:hAnsi="宋体" w:eastAsia="宋体" w:cs="宋体"/>
                <w:b/>
                <w:i w:val="0"/>
                <w:color w:val="000000"/>
                <w:kern w:val="0"/>
                <w:sz w:val="20"/>
                <w:szCs w:val="20"/>
                <w:u w:val="none"/>
                <w:lang w:val="en-US" w:eastAsia="zh-CN" w:bidi="ar"/>
              </w:rPr>
              <w:t>三、项目绩效（通过绩效评价发现并总结的项目绩效）</w:t>
            </w:r>
          </w:p>
        </w:tc>
      </w:tr>
      <w:tr>
        <w:tblPrEx>
          <w:tblCellMar>
            <w:top w:w="0" w:type="dxa"/>
            <w:left w:w="108" w:type="dxa"/>
            <w:bottom w:w="0" w:type="dxa"/>
            <w:right w:w="108" w:type="dxa"/>
          </w:tblCellMar>
        </w:tblPrEx>
        <w:trPr>
          <w:trHeight w:val="1093" w:hRule="atLeast"/>
        </w:trPr>
        <w:tc>
          <w:tcPr>
            <w:tcW w:w="831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0"/>
                <w:szCs w:val="20"/>
                <w:lang w:eastAsia="zh-CN"/>
              </w:rPr>
            </w:pPr>
            <w:r>
              <w:rPr>
                <w:rFonts w:hint="eastAsia" w:ascii="宋体" w:hAnsi="宋体" w:eastAsia="宋体" w:cs="宋体"/>
                <w:i w:val="0"/>
                <w:color w:val="000000"/>
                <w:kern w:val="0"/>
                <w:sz w:val="20"/>
                <w:szCs w:val="20"/>
                <w:u w:val="none"/>
                <w:lang w:val="en-US" w:eastAsia="zh-CN" w:bidi="ar"/>
              </w:rPr>
              <w:t>通过绩效评价，可以看出在老干部文体活动中，我们围绕重大节日和重要庆典，组织老干部参加了1-2项全省性老干部大型活动，对参加全省老干部文艺汇演或赛事和举办全市老干部文体活动达到服装整齐、精神昂扬的效果，取得了优异的成绩，彰显徐州老干部风采；同时，每年举办2-3场规模适当、有一定水准、有代表性、有影响的全市性老干部文艺汇演或赛事，展示老同志精神风貌，发挥了老干部的优势作用，宣传老干部了工作，扩大了社会效应；活动中心设有老干部书画室、乒乓球室、桌球室、健身室、棋牌室、阅览室等近10间活动场室，修缮更新了活动中心活动室器材，保障老干部活动安全性，提升老干部活动环境，创造更适合老同志参与的活动形式，能够满足老干部关于政治学习、养生保健、充实生活的需求，保证了活动室日常运转顺畅，不断优化活动环境，更好的保障了离退休干部丰富退休后生活。保障了老干部安全出行，平安顺利参加全省老干部文艺汇演或赛事、确保工作人员有经费参加省中心主任工作会议、参加全省活动中心负责人培训等外出活动，确保能成果能够顺利举办各类市级活动。</w:t>
            </w:r>
          </w:p>
        </w:tc>
      </w:tr>
      <w:tr>
        <w:tblPrEx>
          <w:tblCellMar>
            <w:top w:w="0" w:type="dxa"/>
            <w:left w:w="108" w:type="dxa"/>
            <w:bottom w:w="0" w:type="dxa"/>
            <w:right w:w="108" w:type="dxa"/>
          </w:tblCellMar>
        </w:tblPrEx>
        <w:trPr>
          <w:trHeight w:val="613" w:hRule="atLeast"/>
        </w:trPr>
        <w:tc>
          <w:tcPr>
            <w:tcW w:w="831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cs="宋体"/>
                <w:b/>
                <w:bCs/>
                <w:color w:val="000000"/>
                <w:kern w:val="0"/>
                <w:sz w:val="20"/>
                <w:szCs w:val="20"/>
              </w:rPr>
            </w:pPr>
            <w:r>
              <w:rPr>
                <w:rFonts w:hint="eastAsia" w:ascii="宋体" w:hAnsi="宋体" w:eastAsia="宋体" w:cs="宋体"/>
                <w:b/>
                <w:i w:val="0"/>
                <w:color w:val="000000"/>
                <w:kern w:val="0"/>
                <w:sz w:val="20"/>
                <w:szCs w:val="20"/>
                <w:u w:val="none"/>
                <w:lang w:val="en-US" w:eastAsia="zh-CN" w:bidi="ar"/>
              </w:rPr>
              <w:t>四、存在问题（通过绩效评价所发现的问题，原则上按照决策、过程、产出、效益、满意度分别归类撰写）</w:t>
            </w:r>
          </w:p>
        </w:tc>
      </w:tr>
      <w:tr>
        <w:tblPrEx>
          <w:tblCellMar>
            <w:top w:w="0" w:type="dxa"/>
            <w:left w:w="108" w:type="dxa"/>
            <w:bottom w:w="0" w:type="dxa"/>
            <w:right w:w="108" w:type="dxa"/>
          </w:tblCellMar>
        </w:tblPrEx>
        <w:trPr>
          <w:trHeight w:val="1058" w:hRule="atLeast"/>
        </w:trPr>
        <w:tc>
          <w:tcPr>
            <w:tcW w:w="831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0"/>
                <w:szCs w:val="20"/>
                <w:lang w:eastAsia="zh-CN"/>
              </w:rPr>
            </w:pPr>
            <w:r>
              <w:rPr>
                <w:rFonts w:hint="eastAsia" w:ascii="宋体" w:hAnsi="宋体" w:eastAsia="宋体" w:cs="宋体"/>
                <w:i w:val="0"/>
                <w:color w:val="000000"/>
                <w:kern w:val="0"/>
                <w:sz w:val="20"/>
                <w:szCs w:val="20"/>
                <w:u w:val="none"/>
                <w:lang w:val="en-US" w:eastAsia="zh-CN" w:bidi="ar"/>
              </w:rPr>
              <w:t>(一)在决策方面：</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财政预算安排单项工作经费不足，难以足额保障开展专项工作。对于绩效评价的认识不够深入，把预算绩效简单等同于工作目标、工作考核和业务管理。</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（二）在过程方面：绩效目标和指标往往根据项目实际完成情况制定，对项目执行过程有效约束不够，存在一定的偏差。</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（三）在产出方面：在绩效考评指标的设计上，部分特色指标缺乏数据支持和可行的分析测评，绩效指标体系有待完善。</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四）在效益方面：由于总体资金不足，在活动室运转（年度征订报刊杂志，根据老干部需要和实际活动器材损耗程度，更新各活动器材，以满足老干部活动的需求），组织、参加省市级活动（组织老干部赴省参加文体活动定制演出服装，并根据活动需求购置道具等用品，同时保障参加活动老干部外出食宿）等方面存在不足。</w:t>
            </w:r>
          </w:p>
        </w:tc>
      </w:tr>
      <w:tr>
        <w:tblPrEx>
          <w:tblCellMar>
            <w:top w:w="0" w:type="dxa"/>
            <w:left w:w="108" w:type="dxa"/>
            <w:bottom w:w="0" w:type="dxa"/>
            <w:right w:w="108" w:type="dxa"/>
          </w:tblCellMar>
        </w:tblPrEx>
        <w:trPr>
          <w:trHeight w:val="445" w:hRule="atLeast"/>
        </w:trPr>
        <w:tc>
          <w:tcPr>
            <w:tcW w:w="831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cs="宋体"/>
                <w:b/>
                <w:bCs/>
                <w:color w:val="000000"/>
                <w:kern w:val="0"/>
                <w:sz w:val="20"/>
                <w:szCs w:val="20"/>
              </w:rPr>
            </w:pPr>
            <w:r>
              <w:rPr>
                <w:rFonts w:hint="eastAsia" w:ascii="宋体" w:hAnsi="宋体" w:eastAsia="宋体" w:cs="宋体"/>
                <w:b/>
                <w:i w:val="0"/>
                <w:color w:val="000000"/>
                <w:kern w:val="0"/>
                <w:sz w:val="20"/>
                <w:szCs w:val="20"/>
                <w:u w:val="none"/>
                <w:lang w:val="en-US" w:eastAsia="zh-CN" w:bidi="ar"/>
              </w:rPr>
              <w:t>五、有关建议（针对存在的问题，分别提出相关完善或整改建议）</w:t>
            </w:r>
          </w:p>
        </w:tc>
      </w:tr>
      <w:tr>
        <w:tblPrEx>
          <w:tblCellMar>
            <w:top w:w="0" w:type="dxa"/>
            <w:left w:w="108" w:type="dxa"/>
            <w:bottom w:w="0" w:type="dxa"/>
            <w:right w:w="108" w:type="dxa"/>
          </w:tblCellMar>
        </w:tblPrEx>
        <w:trPr>
          <w:trHeight w:val="1121" w:hRule="atLeast"/>
        </w:trPr>
        <w:tc>
          <w:tcPr>
            <w:tcW w:w="831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color w:val="FF0000"/>
                <w:kern w:val="0"/>
                <w:sz w:val="20"/>
                <w:szCs w:val="20"/>
              </w:rPr>
            </w:pPr>
            <w:r>
              <w:rPr>
                <w:rFonts w:hint="eastAsia" w:ascii="宋体" w:hAnsi="宋体" w:eastAsia="宋体" w:cs="宋体"/>
                <w:i w:val="0"/>
                <w:color w:val="000000"/>
                <w:kern w:val="0"/>
                <w:sz w:val="20"/>
                <w:szCs w:val="20"/>
                <w:u w:val="none"/>
                <w:lang w:val="en-US" w:eastAsia="zh-CN" w:bidi="ar"/>
              </w:rPr>
              <w:t>(一)在决策方面：</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要加强对预算绩效管理的组织领导，切实转变思想观念，牢固树立绩效意识。积极履行预算绩效管理主体责任，按照预算和绩效管理一体化要求，结合自身业务特点，深入分析徐州市老干部活动中心预算绩效管理工作实际，建立健全部门预算绩效管理工作组织体系和制度体系，优化预算管理流程，完善内控制度，加强预算绩效管理力量，充实预算绩效管理人员，明确落实部门内部绩效管理牵头部门，人员及事前绩效评估、绩效目标设置、绩效跟踪监控，绩效评价的责任分工，将绩效管理责任分解落实到具体部门、明确到具体责任人，加强业务工作与财务工作紧密衔接，确保每一笔资金花得安全、用得高效，推动全面实施预算绩效管理工作常态化、制度化、规范化。</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(二)在过程方面：</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根据项目实施进度及时拨付资金，尽可能减少资金拨付环节和资金拨付时间，避免资金闲置，截留，提高资金使用效率，避免造成财政资源浪费。</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(三)在产出方面：</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要根据制定的绩效目标，根据要求，做好预算执行工作，进一步加强单位内部机构各室的预算管理意识，严格按照预算编制的相关制度和要求进行预算执行，加强财务管理，严格财务审核，加强单位财务管理，健全单位财务管理制度体系，规范单位财务行为，在费用报账支付时，按照预算规定的费用项目和用途进行资金使用审核、列报支付、财务核算，度绝超支现象的发生。</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(四)在效益方面：</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进一步增加预算，围绕重大节日和重要庆典，组织老干部参加1-2项全省性老干部大型活动。同时，举办2-3场规模适当、有一定水准、有代表性、有影响的全市性老干部文艺汇演或赛事，展示老同志精神风貌，进一步发挥老干部的优势作用，宣传老干部工作，扩大社会效应。做好老干部书画室、乒乓球室、桌球室、健身室、棋牌室、阅览室等近10间活动场室，保证活动室日常运转顺畅，不断优化活动环境，更好的保障离退休干部丰富退休后生活。</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6521A30"/>
    <w:rsid w:val="5CD163DF"/>
    <w:rsid w:val="745D7995"/>
    <w:rsid w:val="7E6D10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2024-09-14T02:27:00Z</dcterms:created>
  <dc:creator>Administrator</dc:creator>
  <cp:lastModifiedBy>Administrator</cp:lastModifiedBy>
  <dcterms:modified xsi:type="dcterms:W3CDTF">2024-09-14T02:45:15Z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ies>
</file>